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882E" w14:textId="77777777" w:rsidR="00F33F6D" w:rsidRDefault="00F33F6D" w:rsidP="00F33F6D">
      <w:pPr>
        <w:jc w:val="center"/>
        <w:rPr>
          <w:sz w:val="32"/>
          <w:szCs w:val="32"/>
        </w:rPr>
      </w:pPr>
      <w:r>
        <w:rPr>
          <w:noProof/>
        </w:rPr>
        <mc:AlternateContent>
          <mc:Choice Requires="wps">
            <w:drawing>
              <wp:anchor distT="0" distB="0" distL="114300" distR="114300" simplePos="0" relativeHeight="251659264" behindDoc="0" locked="0" layoutInCell="1" allowOverlap="1" wp14:anchorId="38085922" wp14:editId="33503210">
                <wp:simplePos x="0" y="0"/>
                <wp:positionH relativeFrom="column">
                  <wp:posOffset>3841750</wp:posOffset>
                </wp:positionH>
                <wp:positionV relativeFrom="paragraph">
                  <wp:posOffset>-683895</wp:posOffset>
                </wp:positionV>
                <wp:extent cx="2828925" cy="5715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C8A24" w14:textId="77777777" w:rsidR="00F33F6D" w:rsidRDefault="00F33F6D" w:rsidP="00F33F6D">
                            <w:pPr>
                              <w:jc w:val="center"/>
                              <w:rPr>
                                <w:b/>
                                <w:color w:val="FF0000"/>
                                <w:sz w:val="40"/>
                                <w:szCs w:val="40"/>
                              </w:rPr>
                            </w:pPr>
                            <w:r>
                              <w:rPr>
                                <w:b/>
                                <w:color w:val="FF0000"/>
                                <w:sz w:val="40"/>
                                <w:szCs w:val="40"/>
                              </w:rPr>
                              <w:t xml:space="preserve">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85922" id="_x0000_t202" coordsize="21600,21600" o:spt="202" path="m,l,21600r21600,l21600,xe">
                <v:stroke joinstyle="miter"/>
                <v:path gradientshapeok="t" o:connecttype="rect"/>
              </v:shapetype>
              <v:shape id="Text Box 1" o:spid="_x0000_s1026" type="#_x0000_t202" style="position:absolute;left:0;text-align:left;margin-left:302.5pt;margin-top:-53.85pt;width:222.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b+BAIAAPIDAAAOAAAAZHJzL2Uyb0RvYy54bWysU8Fu2zAMvQ/YPwi6L06CZE2NOEWXIsOA&#10;bi3Q7QNkWbaFyaJGKbGzrx8lp2mQ3Yb5QJgi9cj3SK3vhs6wg0KvwRZ8NplypqyEStum4D++7z6s&#10;OPNB2EoYsKrgR+X53eb9u3XvcjWHFkylkBGI9XnvCt6G4PIs87JVnfATcMpSsAbsRCAXm6xC0RN6&#10;Z7L5dPox6wErhyCV93T6MAb5JuHXtZLhqa69CswUnHoLyWKyZbTZZi3yBoVrtTy1If6hi05oS0XP&#10;UA8iCLZH/RdUpyWChzpMJHQZ1LWWKnEgNrPpFZuXVjiVuJA43p1l8v8PVn47vLhnZGH4BAMNMJHw&#10;7hHkT88sbFthG3WPCH2rREWFZ1GyrHc+P12NUvvcR5Cy/woVDVnsAySgocYuqkI8GaHTAI5n0dUQ&#10;mKTD+Wq+up0vOZMUW97MltM0lUzkr7cd+vBZQcfiT8GRhprQxeHRh9iNyF9TYjEPRlc7bUxysCm3&#10;BtlB0ALs0pcIXKUZG5MtxGsjYjxJNCOzkWMYyoGCkW4J1ZEII4wLRQ8gPJGpDfQFl0Y7zlrA39dn&#10;MY9mRxHOelq6gvtfe4GKM/PFkri3s8UibmlyFsubOTl4GSkvI8JKgip44Gz83YZxs/cOddNSpXGc&#10;Fu5pILVOWr11f+JHi5UkPD2CuLmXfsp6e6qbPwAAAP//AwBQSwMEFAAGAAgAAAAhAFJcJgbeAAAA&#10;DQEAAA8AAABkcnMvZG93bnJldi54bWxMj81OwzAQhO9IvIO1SFxQaxeRBEKcCpBAXPvzAJvYTSLi&#10;dRS7Tfr2bE5w3NnRzDfFdna9uNgxdJ40bNYKhKXam44aDcfD5+oZRIhIBntPVsPVBtiWtzcF5sZP&#10;tLOXfWwEh1DIUUMb45BLGerWOgxrP1ji38mPDiOfYyPNiBOHu14+KpVKhx1xQ4uD/Wht/bM/Ow2n&#10;7+kheZmqr3jMdk/pO3ZZ5a9a39/Nb68gop3jnxkWfEaHkpkqfyYTRK8hVQlviRpWG5VlIBYLSwmI&#10;atFYkmUh/68ofwEAAP//AwBQSwECLQAUAAYACAAAACEAtoM4kv4AAADhAQAAEwAAAAAAAAAAAAAA&#10;AAAAAAAAW0NvbnRlbnRfVHlwZXNdLnhtbFBLAQItABQABgAIAAAAIQA4/SH/1gAAAJQBAAALAAAA&#10;AAAAAAAAAAAAAC8BAABfcmVscy8ucmVsc1BLAQItABQABgAIAAAAIQDdzlb+BAIAAPIDAAAOAAAA&#10;AAAAAAAAAAAAAC4CAABkcnMvZTJvRG9jLnhtbFBLAQItABQABgAIAAAAIQBSXCYG3gAAAA0BAAAP&#10;AAAAAAAAAAAAAAAAAF4EAABkcnMvZG93bnJldi54bWxQSwUGAAAAAAQABADzAAAAaQUAAAAA&#10;" stroked="f">
                <v:textbox>
                  <w:txbxContent>
                    <w:p w14:paraId="694C8A24" w14:textId="77777777" w:rsidR="00F33F6D" w:rsidRDefault="00F33F6D" w:rsidP="00F33F6D">
                      <w:pPr>
                        <w:jc w:val="center"/>
                        <w:rPr>
                          <w:b/>
                          <w:color w:val="FF0000"/>
                          <w:sz w:val="40"/>
                          <w:szCs w:val="40"/>
                        </w:rPr>
                      </w:pPr>
                      <w:r>
                        <w:rPr>
                          <w:b/>
                          <w:color w:val="FF0000"/>
                          <w:sz w:val="40"/>
                          <w:szCs w:val="40"/>
                        </w:rPr>
                        <w:t xml:space="preserve"> </w:t>
                      </w:r>
                    </w:p>
                  </w:txbxContent>
                </v:textbox>
              </v:shape>
            </w:pict>
          </mc:Fallback>
        </mc:AlternateContent>
      </w:r>
      <w:r>
        <w:rPr>
          <w:b/>
          <w:sz w:val="32"/>
          <w:szCs w:val="32"/>
        </w:rPr>
        <w:t>Northwest Public Power Association</w:t>
      </w:r>
    </w:p>
    <w:p w14:paraId="2B2E5CB5" w14:textId="2953CDEC" w:rsidR="00DF3ADC" w:rsidRDefault="00F33F6D" w:rsidP="00DF3ADC">
      <w:pPr>
        <w:jc w:val="center"/>
        <w:rPr>
          <w:b/>
          <w:sz w:val="32"/>
          <w:szCs w:val="32"/>
        </w:rPr>
      </w:pPr>
      <w:r>
        <w:rPr>
          <w:b/>
          <w:sz w:val="32"/>
          <w:szCs w:val="32"/>
        </w:rPr>
        <w:t xml:space="preserve">Proposed Resolution </w:t>
      </w:r>
      <w:r w:rsidR="00E719E2">
        <w:rPr>
          <w:b/>
          <w:sz w:val="32"/>
          <w:szCs w:val="32"/>
        </w:rPr>
        <w:t>2023</w:t>
      </w:r>
      <w:r>
        <w:rPr>
          <w:b/>
          <w:sz w:val="32"/>
          <w:szCs w:val="32"/>
        </w:rPr>
        <w:t>-</w:t>
      </w:r>
      <w:r w:rsidR="009060D0">
        <w:rPr>
          <w:b/>
          <w:sz w:val="32"/>
          <w:szCs w:val="32"/>
        </w:rPr>
        <w:t>18</w:t>
      </w:r>
      <w:bookmarkStart w:id="0" w:name="_Hlk93666813"/>
    </w:p>
    <w:p w14:paraId="685FE317" w14:textId="08B627E4" w:rsidR="00F33F6D" w:rsidRPr="00DF3ADC" w:rsidRDefault="00F33F6D" w:rsidP="00DF3ADC">
      <w:pPr>
        <w:jc w:val="center"/>
        <w:rPr>
          <w:b/>
          <w:sz w:val="32"/>
          <w:szCs w:val="32"/>
        </w:rPr>
      </w:pPr>
      <w:r>
        <w:rPr>
          <w:rFonts w:cstheme="minorHAnsi"/>
          <w:b/>
          <w:bCs/>
          <w:sz w:val="32"/>
          <w:szCs w:val="32"/>
        </w:rPr>
        <w:t>Federal</w:t>
      </w:r>
      <w:r w:rsidRPr="00C37A22">
        <w:rPr>
          <w:rFonts w:cstheme="minorHAnsi"/>
          <w:b/>
          <w:bCs/>
          <w:sz w:val="32"/>
          <w:szCs w:val="32"/>
        </w:rPr>
        <w:t xml:space="preserve"> Incentives for </w:t>
      </w:r>
      <w:r>
        <w:rPr>
          <w:rFonts w:cstheme="minorHAnsi"/>
          <w:b/>
          <w:bCs/>
          <w:sz w:val="32"/>
          <w:szCs w:val="32"/>
        </w:rPr>
        <w:t>Utility-Scale Hydrogen Projects</w:t>
      </w:r>
      <w:bookmarkEnd w:id="0"/>
      <w:r w:rsidRPr="00C37A22">
        <w:rPr>
          <w:rFonts w:cstheme="minorHAnsi"/>
          <w:b/>
          <w:bCs/>
          <w:sz w:val="32"/>
          <w:szCs w:val="32"/>
        </w:rPr>
        <w:t xml:space="preserve"> </w:t>
      </w:r>
    </w:p>
    <w:p w14:paraId="7AD6D0E7" w14:textId="77777777" w:rsidR="00F33F6D" w:rsidRDefault="00F33F6D" w:rsidP="00F33F6D">
      <w:pPr>
        <w:rPr>
          <w:rFonts w:eastAsia="Times New Roman"/>
          <w:b/>
          <w:bCs/>
          <w:sz w:val="24"/>
          <w:szCs w:val="24"/>
        </w:rPr>
      </w:pPr>
    </w:p>
    <w:p w14:paraId="1E19358A" w14:textId="77777777" w:rsidR="00F33F6D" w:rsidRPr="007B6FA9" w:rsidRDefault="00F33F6D" w:rsidP="00F33F6D">
      <w:pPr>
        <w:rPr>
          <w:rFonts w:eastAsia="Times New Roman" w:cstheme="minorHAnsi"/>
          <w:b/>
          <w:bCs/>
          <w:sz w:val="24"/>
          <w:szCs w:val="24"/>
        </w:rPr>
      </w:pPr>
      <w:r w:rsidRPr="007B6FA9">
        <w:rPr>
          <w:rFonts w:eastAsia="Times New Roman" w:cstheme="minorHAnsi"/>
          <w:b/>
          <w:bCs/>
          <w:sz w:val="24"/>
          <w:szCs w:val="24"/>
        </w:rPr>
        <w:t>Background</w:t>
      </w:r>
    </w:p>
    <w:p w14:paraId="35A5218D" w14:textId="77777777" w:rsidR="007B6FA9" w:rsidRDefault="007B6FA9" w:rsidP="002A446E">
      <w:pPr>
        <w:spacing w:after="0" w:line="360" w:lineRule="auto"/>
        <w:rPr>
          <w:rFonts w:cstheme="minorHAnsi"/>
          <w:color w:val="0A0A0A"/>
          <w:sz w:val="24"/>
          <w:szCs w:val="24"/>
          <w:shd w:val="clear" w:color="auto" w:fill="FFFFFF"/>
        </w:rPr>
      </w:pPr>
    </w:p>
    <w:p w14:paraId="50778AB3" w14:textId="0A6090F1" w:rsidR="002A446E" w:rsidRPr="007B6FA9" w:rsidRDefault="002A446E" w:rsidP="002A446E">
      <w:pPr>
        <w:spacing w:after="0" w:line="360" w:lineRule="auto"/>
        <w:rPr>
          <w:rFonts w:cstheme="minorHAnsi"/>
          <w:color w:val="0A0A0A"/>
          <w:sz w:val="24"/>
          <w:szCs w:val="24"/>
          <w:shd w:val="clear" w:color="auto" w:fill="FFFFFF"/>
        </w:rPr>
      </w:pPr>
      <w:r w:rsidRPr="007B6FA9">
        <w:rPr>
          <w:rFonts w:cstheme="minorHAnsi"/>
          <w:color w:val="0A0A0A"/>
          <w:sz w:val="24"/>
          <w:szCs w:val="24"/>
          <w:shd w:val="clear" w:color="auto" w:fill="FFFFFF"/>
        </w:rPr>
        <w:t xml:space="preserve">Demand is building for hydrogen as heavy industrial sectors seek practical solutions for decarbonization amid growing environmental demands from customers, governments, and financial players. In addition, interest in hydrogen is growing within the utility sector in areas such as generation, </w:t>
      </w:r>
      <w:r w:rsidR="00A461B5" w:rsidRPr="007B6FA9">
        <w:rPr>
          <w:rFonts w:cstheme="minorHAnsi"/>
          <w:color w:val="0A0A0A"/>
          <w:sz w:val="24"/>
          <w:szCs w:val="24"/>
          <w:shd w:val="clear" w:color="auto" w:fill="FFFFFF"/>
        </w:rPr>
        <w:t xml:space="preserve">energy </w:t>
      </w:r>
      <w:r w:rsidRPr="007B6FA9">
        <w:rPr>
          <w:rFonts w:cstheme="minorHAnsi"/>
          <w:color w:val="0A0A0A"/>
          <w:sz w:val="24"/>
          <w:szCs w:val="24"/>
          <w:shd w:val="clear" w:color="auto" w:fill="FFFFFF"/>
        </w:rPr>
        <w:t>storage,</w:t>
      </w:r>
      <w:r w:rsidR="00A461B5" w:rsidRPr="007B6FA9">
        <w:rPr>
          <w:rFonts w:cstheme="minorHAnsi"/>
          <w:color w:val="0A0A0A"/>
          <w:sz w:val="24"/>
          <w:szCs w:val="24"/>
          <w:shd w:val="clear" w:color="auto" w:fill="FFFFFF"/>
        </w:rPr>
        <w:t xml:space="preserve"> grid balancing</w:t>
      </w:r>
      <w:r w:rsidR="007E5E76" w:rsidRPr="007B6FA9">
        <w:rPr>
          <w:rFonts w:cstheme="minorHAnsi"/>
          <w:color w:val="0A0A0A"/>
          <w:sz w:val="24"/>
          <w:szCs w:val="24"/>
          <w:shd w:val="clear" w:color="auto" w:fill="FFFFFF"/>
        </w:rPr>
        <w:t>,</w:t>
      </w:r>
      <w:r w:rsidRPr="007B6FA9">
        <w:rPr>
          <w:rFonts w:cstheme="minorHAnsi"/>
          <w:color w:val="0A0A0A"/>
          <w:sz w:val="24"/>
          <w:szCs w:val="24"/>
          <w:shd w:val="clear" w:color="auto" w:fill="FFFFFF"/>
        </w:rPr>
        <w:t xml:space="preserve"> and transportation. In this regard, electric utilities can leverage surplus renewable energy to produce hydrogen, facilitate clean energy integration, and use hydrogen as a medium for long-duration energy storage. Some utilities are also exploring the deployment of hydrogen fueling stations for the transportation sector.</w:t>
      </w:r>
    </w:p>
    <w:p w14:paraId="1510DEE7" w14:textId="77777777" w:rsidR="002A446E" w:rsidRPr="007B6FA9" w:rsidRDefault="002A446E" w:rsidP="002A446E">
      <w:pPr>
        <w:spacing w:after="0" w:line="360" w:lineRule="auto"/>
        <w:rPr>
          <w:rFonts w:cstheme="minorHAnsi"/>
          <w:color w:val="0A0A0A"/>
          <w:sz w:val="24"/>
          <w:szCs w:val="24"/>
          <w:shd w:val="clear" w:color="auto" w:fill="FFFFFF"/>
        </w:rPr>
      </w:pPr>
    </w:p>
    <w:p w14:paraId="434410A5" w14:textId="0F0FA1BE" w:rsidR="002A446E" w:rsidRPr="007B6FA9" w:rsidRDefault="002A446E" w:rsidP="002A446E">
      <w:pPr>
        <w:spacing w:after="0" w:line="360" w:lineRule="auto"/>
        <w:rPr>
          <w:rFonts w:cstheme="minorHAnsi"/>
          <w:color w:val="0A0A0A"/>
          <w:sz w:val="24"/>
          <w:szCs w:val="24"/>
          <w:shd w:val="clear" w:color="auto" w:fill="FFFFFF"/>
        </w:rPr>
      </w:pPr>
      <w:r w:rsidRPr="007B6FA9">
        <w:rPr>
          <w:rFonts w:cstheme="minorHAnsi"/>
          <w:color w:val="0A0A0A"/>
          <w:sz w:val="24"/>
          <w:szCs w:val="24"/>
          <w:shd w:val="clear" w:color="auto" w:fill="FFFFFF"/>
        </w:rPr>
        <w:t xml:space="preserve">A growing number of utilities, including public power utilities, are </w:t>
      </w:r>
      <w:proofErr w:type="gramStart"/>
      <w:r w:rsidRPr="007B6FA9">
        <w:rPr>
          <w:rFonts w:cstheme="minorHAnsi"/>
          <w:color w:val="0A0A0A"/>
          <w:sz w:val="24"/>
          <w:szCs w:val="24"/>
          <w:shd w:val="clear" w:color="auto" w:fill="FFFFFF"/>
        </w:rPr>
        <w:t>exploring</w:t>
      </w:r>
      <w:proofErr w:type="gramEnd"/>
      <w:r w:rsidRPr="007B6FA9">
        <w:rPr>
          <w:rFonts w:cstheme="minorHAnsi"/>
          <w:color w:val="0A0A0A"/>
          <w:sz w:val="24"/>
          <w:szCs w:val="24"/>
          <w:shd w:val="clear" w:color="auto" w:fill="FFFFFF"/>
        </w:rPr>
        <w:t xml:space="preserve"> and investing in hydrogen projects. Yet, hydrogen remains an expensive alternative as there are currently limited options for </w:t>
      </w:r>
      <w:r w:rsidR="00A461B5" w:rsidRPr="007B6FA9">
        <w:rPr>
          <w:rFonts w:cstheme="minorHAnsi"/>
          <w:color w:val="0A0A0A"/>
          <w:sz w:val="24"/>
          <w:szCs w:val="24"/>
          <w:shd w:val="clear" w:color="auto" w:fill="FFFFFF"/>
        </w:rPr>
        <w:t xml:space="preserve">producing, </w:t>
      </w:r>
      <w:r w:rsidR="007E5E76" w:rsidRPr="007B6FA9">
        <w:rPr>
          <w:rFonts w:cstheme="minorHAnsi"/>
          <w:color w:val="0A0A0A"/>
          <w:sz w:val="24"/>
          <w:szCs w:val="24"/>
          <w:shd w:val="clear" w:color="auto" w:fill="FFFFFF"/>
        </w:rPr>
        <w:t xml:space="preserve">acquiring, </w:t>
      </w:r>
      <w:r w:rsidRPr="007B6FA9">
        <w:rPr>
          <w:rFonts w:cstheme="minorHAnsi"/>
          <w:color w:val="0A0A0A"/>
          <w:sz w:val="24"/>
          <w:szCs w:val="24"/>
          <w:shd w:val="clear" w:color="auto" w:fill="FFFFFF"/>
        </w:rPr>
        <w:t>storing</w:t>
      </w:r>
      <w:r w:rsidR="00A461B5" w:rsidRPr="007B6FA9">
        <w:rPr>
          <w:rFonts w:cstheme="minorHAnsi"/>
          <w:color w:val="0A0A0A"/>
          <w:sz w:val="24"/>
          <w:szCs w:val="24"/>
          <w:shd w:val="clear" w:color="auto" w:fill="FFFFFF"/>
        </w:rPr>
        <w:t>,</w:t>
      </w:r>
      <w:r w:rsidRPr="007B6FA9">
        <w:rPr>
          <w:rFonts w:cstheme="minorHAnsi"/>
          <w:color w:val="0A0A0A"/>
          <w:sz w:val="24"/>
          <w:szCs w:val="24"/>
          <w:shd w:val="clear" w:color="auto" w:fill="FFFFFF"/>
        </w:rPr>
        <w:t xml:space="preserve"> and transporting hydrogen fuel. Hydrogen production and storage must reach sizeable </w:t>
      </w:r>
      <w:r w:rsidR="005C0926" w:rsidRPr="007B6FA9">
        <w:rPr>
          <w:rFonts w:cstheme="minorHAnsi"/>
          <w:color w:val="0A0A0A"/>
          <w:sz w:val="24"/>
          <w:szCs w:val="24"/>
          <w:shd w:val="clear" w:color="auto" w:fill="FFFFFF"/>
        </w:rPr>
        <w:t>commercial</w:t>
      </w:r>
      <w:r w:rsidR="009060D0" w:rsidRPr="007B6FA9">
        <w:rPr>
          <w:rFonts w:cstheme="minorHAnsi"/>
          <w:color w:val="0A0A0A"/>
          <w:sz w:val="24"/>
          <w:szCs w:val="24"/>
          <w:shd w:val="clear" w:color="auto" w:fill="FFFFFF"/>
        </w:rPr>
        <w:t xml:space="preserve"> </w:t>
      </w:r>
      <w:r w:rsidRPr="007B6FA9">
        <w:rPr>
          <w:rFonts w:cstheme="minorHAnsi"/>
          <w:color w:val="0A0A0A"/>
          <w:sz w:val="24"/>
          <w:szCs w:val="24"/>
          <w:shd w:val="clear" w:color="auto" w:fill="FFFFFF"/>
        </w:rPr>
        <w:t xml:space="preserve">scale to provide operational confidence and drive down project cost. Just as solar and wind technologies benefited from various federal incentive programs, </w:t>
      </w:r>
      <w:r w:rsidR="00EC243A" w:rsidRPr="007B6FA9">
        <w:rPr>
          <w:rFonts w:cstheme="minorHAnsi"/>
          <w:color w:val="0A0A0A"/>
          <w:sz w:val="24"/>
          <w:szCs w:val="24"/>
          <w:shd w:val="clear" w:color="auto" w:fill="FFFFFF"/>
        </w:rPr>
        <w:t xml:space="preserve">meeting state, regional, and federal </w:t>
      </w:r>
      <w:r w:rsidR="00CA5266" w:rsidRPr="007B6FA9">
        <w:rPr>
          <w:rFonts w:cstheme="minorHAnsi"/>
          <w:color w:val="0A0A0A"/>
          <w:sz w:val="24"/>
          <w:szCs w:val="24"/>
          <w:shd w:val="clear" w:color="auto" w:fill="FFFFFF"/>
        </w:rPr>
        <w:t xml:space="preserve">clean energy goals </w:t>
      </w:r>
      <w:r w:rsidR="008A780B" w:rsidRPr="007B6FA9">
        <w:rPr>
          <w:rFonts w:cstheme="minorHAnsi"/>
          <w:color w:val="0A0A0A"/>
          <w:sz w:val="24"/>
          <w:szCs w:val="24"/>
          <w:shd w:val="clear" w:color="auto" w:fill="FFFFFF"/>
        </w:rPr>
        <w:t xml:space="preserve">will </w:t>
      </w:r>
      <w:r w:rsidR="00CA5266" w:rsidRPr="007B6FA9">
        <w:rPr>
          <w:rFonts w:cstheme="minorHAnsi"/>
          <w:color w:val="0A0A0A"/>
          <w:sz w:val="24"/>
          <w:szCs w:val="24"/>
          <w:shd w:val="clear" w:color="auto" w:fill="FFFFFF"/>
        </w:rPr>
        <w:t xml:space="preserve">benefit greatly from </w:t>
      </w:r>
      <w:r w:rsidRPr="007B6FA9">
        <w:rPr>
          <w:rFonts w:cstheme="minorHAnsi"/>
          <w:color w:val="0A0A0A"/>
          <w:sz w:val="24"/>
          <w:szCs w:val="24"/>
          <w:shd w:val="clear" w:color="auto" w:fill="FFFFFF"/>
        </w:rPr>
        <w:t xml:space="preserve">an aggressive federal investment in hydrogen for </w:t>
      </w:r>
      <w:r w:rsidR="00EC243A" w:rsidRPr="007B6FA9">
        <w:rPr>
          <w:rFonts w:cstheme="minorHAnsi"/>
          <w:color w:val="0A0A0A"/>
          <w:sz w:val="24"/>
          <w:szCs w:val="24"/>
          <w:shd w:val="clear" w:color="auto" w:fill="FFFFFF"/>
        </w:rPr>
        <w:t>power generation</w:t>
      </w:r>
      <w:r w:rsidRPr="007B6FA9">
        <w:rPr>
          <w:rFonts w:cstheme="minorHAnsi"/>
          <w:color w:val="0A0A0A"/>
          <w:sz w:val="24"/>
          <w:szCs w:val="24"/>
          <w:shd w:val="clear" w:color="auto" w:fill="FFFFFF"/>
        </w:rPr>
        <w:t>, transportation, and industrial purposes.</w:t>
      </w:r>
    </w:p>
    <w:p w14:paraId="253F63C8" w14:textId="77777777" w:rsidR="002A446E" w:rsidRPr="007B6FA9" w:rsidRDefault="002A446E" w:rsidP="002A446E">
      <w:pPr>
        <w:spacing w:after="0" w:line="360" w:lineRule="auto"/>
        <w:rPr>
          <w:rFonts w:cstheme="minorHAnsi"/>
          <w:color w:val="0A0A0A"/>
          <w:sz w:val="24"/>
          <w:szCs w:val="24"/>
          <w:shd w:val="clear" w:color="auto" w:fill="FFFFFF"/>
        </w:rPr>
      </w:pPr>
    </w:p>
    <w:p w14:paraId="0C6CFC84" w14:textId="5FD03781" w:rsidR="008D6CDB" w:rsidRPr="007B6FA9" w:rsidRDefault="00E719E2" w:rsidP="008D6CDB">
      <w:pPr>
        <w:spacing w:after="0" w:line="360" w:lineRule="auto"/>
        <w:rPr>
          <w:rFonts w:cstheme="minorHAnsi"/>
          <w:color w:val="0A0A0A"/>
          <w:sz w:val="24"/>
          <w:szCs w:val="24"/>
          <w:shd w:val="clear" w:color="auto" w:fill="FFFFFF"/>
        </w:rPr>
      </w:pPr>
      <w:r w:rsidRPr="007B6FA9">
        <w:rPr>
          <w:rFonts w:cstheme="minorHAnsi"/>
          <w:color w:val="0A0A0A"/>
          <w:sz w:val="24"/>
          <w:szCs w:val="24"/>
          <w:shd w:val="clear" w:color="auto" w:fill="FFFFFF"/>
        </w:rPr>
        <w:t>T</w:t>
      </w:r>
      <w:r w:rsidR="00AA4D2D" w:rsidRPr="007B6FA9">
        <w:rPr>
          <w:rFonts w:cstheme="minorHAnsi"/>
          <w:color w:val="0A0A0A"/>
          <w:sz w:val="24"/>
          <w:szCs w:val="24"/>
          <w:shd w:val="clear" w:color="auto" w:fill="FFFFFF"/>
        </w:rPr>
        <w:t>he $1.2 trillion Infrastructure Investment and Jobs Act (IIJA)</w:t>
      </w:r>
      <w:r w:rsidRPr="007B6FA9">
        <w:rPr>
          <w:rFonts w:cstheme="minorHAnsi"/>
          <w:color w:val="0A0A0A"/>
          <w:sz w:val="24"/>
          <w:szCs w:val="24"/>
          <w:shd w:val="clear" w:color="auto" w:fill="FFFFFF"/>
        </w:rPr>
        <w:t xml:space="preserve"> signed in 2021 dedicated a</w:t>
      </w:r>
      <w:r w:rsidR="00AA4D2D" w:rsidRPr="007B6FA9">
        <w:rPr>
          <w:rFonts w:cstheme="minorHAnsi"/>
          <w:color w:val="0A0A0A"/>
          <w:sz w:val="24"/>
          <w:szCs w:val="24"/>
          <w:shd w:val="clear" w:color="auto" w:fill="FFFFFF"/>
        </w:rPr>
        <w:t xml:space="preserve">pproximately $8 billion to </w:t>
      </w:r>
      <w:r w:rsidR="002A446E" w:rsidRPr="007B6FA9">
        <w:rPr>
          <w:rFonts w:cstheme="minorHAnsi"/>
          <w:color w:val="0A0A0A"/>
          <w:sz w:val="24"/>
          <w:szCs w:val="24"/>
          <w:shd w:val="clear" w:color="auto" w:fill="FFFFFF"/>
        </w:rPr>
        <w:t>the U.S. Department of Energy</w:t>
      </w:r>
      <w:r w:rsidR="00474486" w:rsidRPr="007B6FA9">
        <w:rPr>
          <w:rFonts w:cstheme="minorHAnsi"/>
          <w:color w:val="0A0A0A"/>
          <w:sz w:val="24"/>
          <w:szCs w:val="24"/>
          <w:shd w:val="clear" w:color="auto" w:fill="FFFFFF"/>
        </w:rPr>
        <w:t xml:space="preserve"> (DOE)</w:t>
      </w:r>
      <w:r w:rsidR="002A446E" w:rsidRPr="007B6FA9">
        <w:rPr>
          <w:rFonts w:cstheme="minorHAnsi"/>
          <w:color w:val="0A0A0A"/>
          <w:sz w:val="24"/>
          <w:szCs w:val="24"/>
          <w:shd w:val="clear" w:color="auto" w:fill="FFFFFF"/>
        </w:rPr>
        <w:t xml:space="preserve"> </w:t>
      </w:r>
      <w:r w:rsidR="00AA4D2D" w:rsidRPr="007B6FA9">
        <w:rPr>
          <w:rFonts w:cstheme="minorHAnsi"/>
          <w:color w:val="0A0A0A"/>
          <w:sz w:val="24"/>
          <w:szCs w:val="24"/>
          <w:shd w:val="clear" w:color="auto" w:fill="FFFFFF"/>
        </w:rPr>
        <w:t>to establish clean hydrogen programs</w:t>
      </w:r>
      <w:r w:rsidR="005C0926" w:rsidRPr="007B6FA9">
        <w:rPr>
          <w:rFonts w:cstheme="minorHAnsi"/>
          <w:color w:val="0A0A0A"/>
          <w:sz w:val="24"/>
          <w:szCs w:val="24"/>
          <w:shd w:val="clear" w:color="auto" w:fill="FFFFFF"/>
        </w:rPr>
        <w:t>,</w:t>
      </w:r>
      <w:r w:rsidR="00AA4D2D" w:rsidRPr="007B6FA9">
        <w:rPr>
          <w:rFonts w:cstheme="minorHAnsi"/>
          <w:color w:val="0A0A0A"/>
          <w:sz w:val="24"/>
          <w:szCs w:val="24"/>
          <w:shd w:val="clear" w:color="auto" w:fill="FFFFFF"/>
        </w:rPr>
        <w:t xml:space="preserve"> including a demonstration program to decrease the cost of clean hydrogen production from </w:t>
      </w:r>
      <w:proofErr w:type="spellStart"/>
      <w:r w:rsidR="00AA4D2D" w:rsidRPr="007B6FA9">
        <w:rPr>
          <w:rFonts w:cstheme="minorHAnsi"/>
          <w:color w:val="0A0A0A"/>
          <w:sz w:val="24"/>
          <w:szCs w:val="24"/>
          <w:shd w:val="clear" w:color="auto" w:fill="FFFFFF"/>
        </w:rPr>
        <w:t>electrolyzers</w:t>
      </w:r>
      <w:proofErr w:type="spellEnd"/>
      <w:r w:rsidR="00AA4D2D" w:rsidRPr="007B6FA9">
        <w:rPr>
          <w:rFonts w:cstheme="minorHAnsi"/>
          <w:color w:val="0A0A0A"/>
          <w:sz w:val="24"/>
          <w:szCs w:val="24"/>
          <w:shd w:val="clear" w:color="auto" w:fill="FFFFFF"/>
        </w:rPr>
        <w:t xml:space="preserve"> and at least four regional clean hydrogen hubs to demonstrate the production, delivery, and storage of clean hydrogen energy. This bill, along with </w:t>
      </w:r>
      <w:r w:rsidR="00AA4D2D" w:rsidRPr="007B6FA9">
        <w:rPr>
          <w:rFonts w:cstheme="minorHAnsi"/>
          <w:color w:val="0A0A0A"/>
          <w:sz w:val="24"/>
          <w:szCs w:val="24"/>
          <w:shd w:val="clear" w:color="auto" w:fill="FFFFFF"/>
        </w:rPr>
        <w:lastRenderedPageBreak/>
        <w:t>DOE</w:t>
      </w:r>
      <w:r w:rsidRPr="007B6FA9">
        <w:rPr>
          <w:rFonts w:cstheme="minorHAnsi"/>
          <w:color w:val="0A0A0A"/>
          <w:sz w:val="24"/>
          <w:szCs w:val="24"/>
          <w:shd w:val="clear" w:color="auto" w:fill="FFFFFF"/>
        </w:rPr>
        <w:t>’s</w:t>
      </w:r>
      <w:r w:rsidR="002A446E" w:rsidRPr="007B6FA9">
        <w:rPr>
          <w:rFonts w:cstheme="minorHAnsi"/>
          <w:color w:val="0A0A0A"/>
          <w:sz w:val="24"/>
          <w:szCs w:val="24"/>
          <w:shd w:val="clear" w:color="auto" w:fill="FFFFFF"/>
        </w:rPr>
        <w:t> </w:t>
      </w:r>
      <w:hyperlink r:id="rId7" w:tooltip="Read more about Hydrogen Program Plan" w:history="1">
        <w:r w:rsidR="002A446E" w:rsidRPr="007B6FA9">
          <w:rPr>
            <w:rFonts w:cstheme="minorHAnsi"/>
            <w:color w:val="0A0A0A"/>
            <w:sz w:val="24"/>
            <w:szCs w:val="24"/>
            <w:shd w:val="clear" w:color="auto" w:fill="FFFFFF"/>
          </w:rPr>
          <w:t>Hydrogen Program Plan</w:t>
        </w:r>
      </w:hyperlink>
      <w:r w:rsidR="00AA4D2D" w:rsidRPr="007B6FA9">
        <w:rPr>
          <w:rFonts w:cstheme="minorHAnsi"/>
          <w:color w:val="0A0A0A"/>
          <w:sz w:val="24"/>
          <w:szCs w:val="24"/>
          <w:shd w:val="clear" w:color="auto" w:fill="FFFFFF"/>
        </w:rPr>
        <w:t>,</w:t>
      </w:r>
      <w:r w:rsidR="002A446E" w:rsidRPr="007B6FA9">
        <w:rPr>
          <w:rFonts w:cstheme="minorHAnsi"/>
          <w:color w:val="0A0A0A"/>
          <w:sz w:val="24"/>
          <w:szCs w:val="24"/>
          <w:shd w:val="clear" w:color="auto" w:fill="FFFFFF"/>
        </w:rPr>
        <w:t xml:space="preserve"> provide</w:t>
      </w:r>
      <w:r w:rsidR="00AA4D2D" w:rsidRPr="007B6FA9">
        <w:rPr>
          <w:rFonts w:cstheme="minorHAnsi"/>
          <w:color w:val="0A0A0A"/>
          <w:sz w:val="24"/>
          <w:szCs w:val="24"/>
          <w:shd w:val="clear" w:color="auto" w:fill="FFFFFF"/>
        </w:rPr>
        <w:t>s</w:t>
      </w:r>
      <w:r w:rsidR="002A446E" w:rsidRPr="007B6FA9">
        <w:rPr>
          <w:rFonts w:cstheme="minorHAnsi"/>
          <w:color w:val="0A0A0A"/>
          <w:sz w:val="24"/>
          <w:szCs w:val="24"/>
          <w:shd w:val="clear" w:color="auto" w:fill="FFFFFF"/>
        </w:rPr>
        <w:t xml:space="preserve"> a strategic framework for the Department’s hydrogen research, development, and demonstration (RD&amp;D) activities. </w:t>
      </w:r>
      <w:r w:rsidR="0020466E" w:rsidRPr="007B6FA9">
        <w:rPr>
          <w:rFonts w:cstheme="minorHAnsi"/>
          <w:color w:val="0A0A0A"/>
          <w:sz w:val="24"/>
          <w:szCs w:val="24"/>
          <w:shd w:val="clear" w:color="auto" w:fill="FFFFFF"/>
        </w:rPr>
        <w:t>As DOE implement</w:t>
      </w:r>
      <w:r w:rsidRPr="007B6FA9">
        <w:rPr>
          <w:rFonts w:cstheme="minorHAnsi"/>
          <w:color w:val="0A0A0A"/>
          <w:sz w:val="24"/>
          <w:szCs w:val="24"/>
          <w:shd w:val="clear" w:color="auto" w:fill="FFFFFF"/>
        </w:rPr>
        <w:t>s</w:t>
      </w:r>
      <w:r w:rsidR="0020466E" w:rsidRPr="007B6FA9">
        <w:rPr>
          <w:rFonts w:cstheme="minorHAnsi"/>
          <w:color w:val="0A0A0A"/>
          <w:sz w:val="24"/>
          <w:szCs w:val="24"/>
          <w:shd w:val="clear" w:color="auto" w:fill="FFFFFF"/>
        </w:rPr>
        <w:t xml:space="preserve"> programs promoting hydrogen development,</w:t>
      </w:r>
      <w:r w:rsidR="002A446E" w:rsidRPr="007B6FA9">
        <w:rPr>
          <w:rFonts w:cstheme="minorHAnsi"/>
          <w:color w:val="0A0A0A"/>
          <w:sz w:val="24"/>
          <w:szCs w:val="24"/>
          <w:shd w:val="clear" w:color="auto" w:fill="FFFFFF"/>
        </w:rPr>
        <w:t xml:space="preserve"> </w:t>
      </w:r>
      <w:r w:rsidR="0020466E" w:rsidRPr="007B6FA9">
        <w:rPr>
          <w:rFonts w:cstheme="minorHAnsi"/>
          <w:color w:val="0A0A0A"/>
          <w:sz w:val="24"/>
          <w:szCs w:val="24"/>
          <w:shd w:val="clear" w:color="auto" w:fill="FFFFFF"/>
        </w:rPr>
        <w:t xml:space="preserve">it should not only provide equal consideration for all utilities and non-utility developers, but </w:t>
      </w:r>
      <w:r w:rsidR="002A446E" w:rsidRPr="007B6FA9">
        <w:rPr>
          <w:rFonts w:cstheme="minorHAnsi"/>
          <w:color w:val="0A0A0A"/>
          <w:sz w:val="24"/>
          <w:szCs w:val="24"/>
          <w:shd w:val="clear" w:color="auto" w:fill="FFFFFF"/>
        </w:rPr>
        <w:t xml:space="preserve">also provide for the integration of electric generation and transportation uses of hydrogen, </w:t>
      </w:r>
      <w:r w:rsidR="008A780B" w:rsidRPr="007B6FA9">
        <w:rPr>
          <w:rFonts w:cstheme="minorHAnsi"/>
          <w:color w:val="0A0A0A"/>
          <w:sz w:val="24"/>
          <w:szCs w:val="24"/>
          <w:shd w:val="clear" w:color="auto" w:fill="FFFFFF"/>
        </w:rPr>
        <w:t xml:space="preserve">and </w:t>
      </w:r>
      <w:r w:rsidR="002A446E" w:rsidRPr="007B6FA9">
        <w:rPr>
          <w:rFonts w:cstheme="minorHAnsi"/>
          <w:color w:val="0A0A0A"/>
          <w:sz w:val="24"/>
          <w:szCs w:val="24"/>
          <w:shd w:val="clear" w:color="auto" w:fill="FFFFFF"/>
        </w:rPr>
        <w:t>hydrogen storage for non-automotive applications</w:t>
      </w:r>
      <w:r w:rsidR="008D6CDB" w:rsidRPr="007B6FA9">
        <w:rPr>
          <w:rFonts w:cstheme="minorHAnsi"/>
          <w:color w:val="0A0A0A"/>
          <w:sz w:val="24"/>
          <w:szCs w:val="24"/>
          <w:shd w:val="clear" w:color="auto" w:fill="FFFFFF"/>
        </w:rPr>
        <w:t>, and the</w:t>
      </w:r>
      <w:r w:rsidR="008D6CDB" w:rsidRPr="007B6FA9">
        <w:rPr>
          <w:rFonts w:cstheme="minorHAnsi"/>
          <w:color w:val="0A0A0A"/>
          <w:sz w:val="24"/>
          <w:szCs w:val="24"/>
          <w:shd w:val="clear" w:color="auto" w:fill="FFFFFF"/>
        </w:rPr>
        <w:t xml:space="preserve"> hybrid use of renewable hydrogen and natural gas to help reduce greenhouse gas emissions. This broad approach will allow for the widespread assessment and adoptions of hydrogen use in electric generation.</w:t>
      </w:r>
    </w:p>
    <w:p w14:paraId="4859E24C" w14:textId="77777777" w:rsidR="008A780B" w:rsidRPr="007B6FA9" w:rsidRDefault="008A780B" w:rsidP="002A446E">
      <w:pPr>
        <w:spacing w:after="0" w:line="360" w:lineRule="auto"/>
        <w:rPr>
          <w:rFonts w:cstheme="minorHAnsi"/>
          <w:color w:val="0A0A0A"/>
          <w:sz w:val="24"/>
          <w:szCs w:val="24"/>
          <w:shd w:val="clear" w:color="auto" w:fill="FFFFFF"/>
        </w:rPr>
      </w:pPr>
    </w:p>
    <w:p w14:paraId="5F9C5BB8" w14:textId="219313F1" w:rsidR="006A49A2" w:rsidRPr="007B6FA9" w:rsidRDefault="008A780B" w:rsidP="002A446E">
      <w:pPr>
        <w:spacing w:after="0" w:line="360" w:lineRule="auto"/>
        <w:rPr>
          <w:rFonts w:cstheme="minorHAnsi"/>
          <w:color w:val="0A0A0A"/>
          <w:sz w:val="24"/>
          <w:szCs w:val="24"/>
          <w:shd w:val="clear" w:color="auto" w:fill="FFFFFF"/>
        </w:rPr>
      </w:pPr>
      <w:r w:rsidRPr="007B6FA9">
        <w:rPr>
          <w:rFonts w:cstheme="minorHAnsi"/>
          <w:color w:val="0A0A0A"/>
          <w:sz w:val="24"/>
          <w:szCs w:val="24"/>
          <w:shd w:val="clear" w:color="auto" w:fill="FFFFFF"/>
        </w:rPr>
        <w:t xml:space="preserve">Additionally, last year Congress approved, and President Biden signed, the Inflation Reduction Act of 2022. The </w:t>
      </w:r>
      <w:r w:rsidR="006A49A2" w:rsidRPr="007B6FA9">
        <w:rPr>
          <w:rFonts w:cstheme="minorHAnsi"/>
          <w:color w:val="0A0A0A"/>
          <w:sz w:val="24"/>
          <w:szCs w:val="24"/>
          <w:shd w:val="clear" w:color="auto" w:fill="FFFFFF"/>
        </w:rPr>
        <w:t xml:space="preserve">Act created a new section within the </w:t>
      </w:r>
      <w:r w:rsidR="000A7158" w:rsidRPr="007B6FA9">
        <w:rPr>
          <w:rFonts w:cstheme="minorHAnsi"/>
          <w:color w:val="0A0A0A"/>
          <w:sz w:val="24"/>
          <w:szCs w:val="24"/>
          <w:shd w:val="clear" w:color="auto" w:fill="FFFFFF"/>
        </w:rPr>
        <w:t>I</w:t>
      </w:r>
      <w:r w:rsidR="006A49A2" w:rsidRPr="007B6FA9">
        <w:rPr>
          <w:rFonts w:cstheme="minorHAnsi"/>
          <w:color w:val="0A0A0A"/>
          <w:sz w:val="24"/>
          <w:szCs w:val="24"/>
          <w:shd w:val="clear" w:color="auto" w:fill="FFFFFF"/>
        </w:rPr>
        <w:t xml:space="preserve">nternal </w:t>
      </w:r>
      <w:r w:rsidR="000A7158" w:rsidRPr="007B6FA9">
        <w:rPr>
          <w:rFonts w:cstheme="minorHAnsi"/>
          <w:color w:val="0A0A0A"/>
          <w:sz w:val="24"/>
          <w:szCs w:val="24"/>
          <w:shd w:val="clear" w:color="auto" w:fill="FFFFFF"/>
        </w:rPr>
        <w:t>R</w:t>
      </w:r>
      <w:r w:rsidR="006A49A2" w:rsidRPr="007B6FA9">
        <w:rPr>
          <w:rFonts w:cstheme="minorHAnsi"/>
          <w:color w:val="0A0A0A"/>
          <w:sz w:val="24"/>
          <w:szCs w:val="24"/>
          <w:shd w:val="clear" w:color="auto" w:fill="FFFFFF"/>
        </w:rPr>
        <w:t xml:space="preserve">evenue </w:t>
      </w:r>
      <w:r w:rsidR="000A7158" w:rsidRPr="007B6FA9">
        <w:rPr>
          <w:rFonts w:cstheme="minorHAnsi"/>
          <w:color w:val="0A0A0A"/>
          <w:sz w:val="24"/>
          <w:szCs w:val="24"/>
          <w:shd w:val="clear" w:color="auto" w:fill="FFFFFF"/>
        </w:rPr>
        <w:t>C</w:t>
      </w:r>
      <w:r w:rsidR="006A49A2" w:rsidRPr="007B6FA9">
        <w:rPr>
          <w:rFonts w:cstheme="minorHAnsi"/>
          <w:color w:val="0A0A0A"/>
          <w:sz w:val="24"/>
          <w:szCs w:val="24"/>
          <w:shd w:val="clear" w:color="auto" w:fill="FFFFFF"/>
        </w:rPr>
        <w:t>ode, 45V, which establishes a clean hydrogen production tax credit (PTC) and broadens the existing investment tax credit (ITC) in section 48 to apply to hydrogen projects and standalone hydrogen storage technology. The Act also allows for direct pay and transferability of hydrogen-related tax credits. As the U.S. Treasury and Internal Revenue S</w:t>
      </w:r>
      <w:r w:rsidR="00C11591" w:rsidRPr="007B6FA9">
        <w:rPr>
          <w:rFonts w:cstheme="minorHAnsi"/>
          <w:color w:val="0A0A0A"/>
          <w:sz w:val="24"/>
          <w:szCs w:val="24"/>
          <w:shd w:val="clear" w:color="auto" w:fill="FFFFFF"/>
        </w:rPr>
        <w:t xml:space="preserve">ervice implements these tax provisions, similar to DOE, these agencies should provide equal consideration for all utilities and non-utility developers and provide for the highest level of opportunity to equitably capture the tax benefits outlined in the measure. </w:t>
      </w:r>
    </w:p>
    <w:p w14:paraId="0652F982" w14:textId="77777777" w:rsidR="00DE1BAB" w:rsidRPr="007B6FA9" w:rsidRDefault="00DE1BAB" w:rsidP="002A446E">
      <w:pPr>
        <w:spacing w:after="0" w:line="360" w:lineRule="auto"/>
        <w:rPr>
          <w:rFonts w:cstheme="minorHAnsi"/>
          <w:color w:val="0A0A0A"/>
          <w:sz w:val="24"/>
          <w:szCs w:val="24"/>
          <w:shd w:val="clear" w:color="auto" w:fill="FFFFFF"/>
        </w:rPr>
      </w:pPr>
    </w:p>
    <w:p w14:paraId="033044E0" w14:textId="77777777" w:rsidR="00DE1BAB" w:rsidRPr="007B6FA9" w:rsidRDefault="00DE1BAB" w:rsidP="00DE1BAB">
      <w:pPr>
        <w:spacing w:after="0" w:line="360" w:lineRule="auto"/>
        <w:rPr>
          <w:rFonts w:cstheme="minorHAnsi"/>
          <w:b/>
          <w:bCs/>
          <w:sz w:val="24"/>
          <w:szCs w:val="24"/>
        </w:rPr>
      </w:pPr>
      <w:r w:rsidRPr="007B6FA9">
        <w:rPr>
          <w:rFonts w:cstheme="minorHAnsi"/>
          <w:b/>
          <w:bCs/>
          <w:sz w:val="24"/>
          <w:szCs w:val="24"/>
        </w:rPr>
        <w:t xml:space="preserve">NWPPA’s Position </w:t>
      </w:r>
    </w:p>
    <w:p w14:paraId="5B1D3926" w14:textId="574DFE3D" w:rsidR="00162D64" w:rsidRPr="007B6FA9" w:rsidRDefault="00DE1BAB" w:rsidP="00DF3ADC">
      <w:pPr>
        <w:pStyle w:val="ListParagraph"/>
        <w:numPr>
          <w:ilvl w:val="0"/>
          <w:numId w:val="2"/>
        </w:numPr>
        <w:autoSpaceDE w:val="0"/>
        <w:autoSpaceDN w:val="0"/>
        <w:adjustRightInd w:val="0"/>
        <w:spacing w:after="0" w:line="360" w:lineRule="auto"/>
        <w:rPr>
          <w:rFonts w:cstheme="minorHAnsi"/>
          <w:sz w:val="24"/>
          <w:szCs w:val="24"/>
        </w:rPr>
      </w:pPr>
      <w:r w:rsidRPr="007B6FA9">
        <w:rPr>
          <w:rFonts w:cstheme="minorHAnsi"/>
          <w:sz w:val="24"/>
          <w:szCs w:val="24"/>
        </w:rPr>
        <w:t xml:space="preserve">NWPPA </w:t>
      </w:r>
      <w:r w:rsidR="005C0926" w:rsidRPr="007B6FA9">
        <w:rPr>
          <w:rFonts w:cstheme="minorHAnsi"/>
          <w:color w:val="0A0A0A"/>
          <w:sz w:val="24"/>
          <w:szCs w:val="24"/>
          <w:shd w:val="clear" w:color="auto" w:fill="FFFFFF"/>
        </w:rPr>
        <w:t xml:space="preserve">supports </w:t>
      </w:r>
      <w:r w:rsidR="002A446E" w:rsidRPr="007B6FA9">
        <w:rPr>
          <w:rFonts w:cstheme="minorHAnsi"/>
          <w:color w:val="0A0A0A"/>
          <w:sz w:val="24"/>
          <w:szCs w:val="24"/>
          <w:shd w:val="clear" w:color="auto" w:fill="FFFFFF"/>
        </w:rPr>
        <w:t>federal policies to increase the research, development, and deployment of hydrogen technology for the electric utility sector, in addition to transportation and industrial uses</w:t>
      </w:r>
      <w:r w:rsidR="005C0926" w:rsidRPr="007B6FA9">
        <w:rPr>
          <w:rFonts w:cstheme="minorHAnsi"/>
          <w:color w:val="0A0A0A"/>
          <w:sz w:val="24"/>
          <w:szCs w:val="24"/>
          <w:shd w:val="clear" w:color="auto" w:fill="FFFFFF"/>
        </w:rPr>
        <w:t xml:space="preserve"> and urges effective implementation of the hydrogen programs authorized by the Infrastructure Investment and Jobs Act</w:t>
      </w:r>
      <w:r w:rsidR="002A446E" w:rsidRPr="007B6FA9">
        <w:rPr>
          <w:rFonts w:cstheme="minorHAnsi"/>
          <w:color w:val="0A0A0A"/>
          <w:sz w:val="24"/>
          <w:szCs w:val="24"/>
          <w:shd w:val="clear" w:color="auto" w:fill="FFFFFF"/>
        </w:rPr>
        <w:t>.</w:t>
      </w:r>
    </w:p>
    <w:p w14:paraId="63EE14D0" w14:textId="12E8C1A4" w:rsidR="00CB4037" w:rsidRPr="007B6FA9" w:rsidRDefault="002A446E" w:rsidP="00E735E1">
      <w:pPr>
        <w:pStyle w:val="ListParagraph"/>
        <w:numPr>
          <w:ilvl w:val="0"/>
          <w:numId w:val="2"/>
        </w:numPr>
        <w:autoSpaceDE w:val="0"/>
        <w:autoSpaceDN w:val="0"/>
        <w:adjustRightInd w:val="0"/>
        <w:spacing w:after="0" w:line="360" w:lineRule="auto"/>
        <w:rPr>
          <w:rFonts w:cstheme="minorHAnsi"/>
          <w:sz w:val="24"/>
          <w:szCs w:val="24"/>
        </w:rPr>
      </w:pPr>
      <w:r w:rsidRPr="007B6FA9">
        <w:rPr>
          <w:rFonts w:cstheme="minorHAnsi"/>
          <w:color w:val="0A0A0A"/>
          <w:sz w:val="24"/>
          <w:szCs w:val="24"/>
          <w:shd w:val="clear" w:color="auto" w:fill="FFFFFF"/>
        </w:rPr>
        <w:t>NWPPA urges Congress to provide equal incentives to all segments of the utility industry, including public power, in any programs to advance hydrogen deployment.</w:t>
      </w:r>
    </w:p>
    <w:p w14:paraId="15A2D5C2" w14:textId="77777777" w:rsidR="00043687" w:rsidRPr="007B6FA9" w:rsidRDefault="00043687" w:rsidP="007B6FA9">
      <w:pPr>
        <w:rPr>
          <w:rFonts w:cstheme="minorHAnsi"/>
          <w:sz w:val="24"/>
          <w:szCs w:val="24"/>
        </w:rPr>
      </w:pPr>
    </w:p>
    <w:p w14:paraId="06596029" w14:textId="67C9A5CC" w:rsidR="00043687" w:rsidRPr="007B6FA9" w:rsidRDefault="00043687" w:rsidP="00043687">
      <w:pPr>
        <w:autoSpaceDE w:val="0"/>
        <w:autoSpaceDN w:val="0"/>
        <w:adjustRightInd w:val="0"/>
        <w:spacing w:after="0" w:line="360" w:lineRule="auto"/>
        <w:ind w:left="360"/>
        <w:rPr>
          <w:rFonts w:cstheme="minorHAnsi"/>
          <w:sz w:val="24"/>
          <w:szCs w:val="24"/>
        </w:rPr>
      </w:pPr>
      <w:r w:rsidRPr="007B6FA9">
        <w:rPr>
          <w:rFonts w:cstheme="minorHAnsi"/>
          <w:sz w:val="24"/>
          <w:szCs w:val="24"/>
        </w:rPr>
        <w:t>Originated: 2022</w:t>
      </w:r>
      <w:r w:rsidR="00B31559" w:rsidRPr="007B6FA9">
        <w:rPr>
          <w:rFonts w:cstheme="minorHAnsi"/>
          <w:sz w:val="24"/>
          <w:szCs w:val="24"/>
        </w:rPr>
        <w:t>.  Revised 2023.</w:t>
      </w:r>
    </w:p>
    <w:sectPr w:rsidR="00043687" w:rsidRPr="007B6FA9" w:rsidSect="00772F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6B48" w14:textId="77777777" w:rsidR="005C5BFE" w:rsidRDefault="005C5BFE" w:rsidP="004428EC">
      <w:pPr>
        <w:spacing w:after="0" w:line="240" w:lineRule="auto"/>
      </w:pPr>
      <w:r>
        <w:separator/>
      </w:r>
    </w:p>
  </w:endnote>
  <w:endnote w:type="continuationSeparator" w:id="0">
    <w:p w14:paraId="1D291396" w14:textId="77777777" w:rsidR="005C5BFE" w:rsidRDefault="005C5BFE" w:rsidP="0044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F072" w14:textId="77777777" w:rsidR="00A612F4" w:rsidRDefault="00A61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455B" w14:textId="77777777" w:rsidR="00A612F4" w:rsidRDefault="00A6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C2D2" w14:textId="77777777" w:rsidR="00A612F4" w:rsidRDefault="00A6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AA17" w14:textId="77777777" w:rsidR="005C5BFE" w:rsidRDefault="005C5BFE" w:rsidP="004428EC">
      <w:pPr>
        <w:spacing w:after="0" w:line="240" w:lineRule="auto"/>
      </w:pPr>
      <w:r>
        <w:separator/>
      </w:r>
    </w:p>
  </w:footnote>
  <w:footnote w:type="continuationSeparator" w:id="0">
    <w:p w14:paraId="73C92BD7" w14:textId="77777777" w:rsidR="005C5BFE" w:rsidRDefault="005C5BFE" w:rsidP="0044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4D01" w14:textId="77777777" w:rsidR="00A612F4" w:rsidRDefault="00A61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0353" w14:textId="49BBD0E7" w:rsidR="00A612F4" w:rsidRDefault="00A61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F425" w14:textId="77777777" w:rsidR="00A612F4" w:rsidRDefault="00A61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5323"/>
    <w:multiLevelType w:val="hybridMultilevel"/>
    <w:tmpl w:val="07187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A4D5E"/>
    <w:multiLevelType w:val="hybridMultilevel"/>
    <w:tmpl w:val="A4BE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913314">
    <w:abstractNumId w:val="0"/>
  </w:num>
  <w:num w:numId="2" w16cid:durableId="103280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WwMLA0MDMyNTa0sDRW0lEKTi0uzszPAykwqwUASLH6hSwAAAA="/>
  </w:docVars>
  <w:rsids>
    <w:rsidRoot w:val="009917E8"/>
    <w:rsid w:val="0002053D"/>
    <w:rsid w:val="00022B93"/>
    <w:rsid w:val="00043687"/>
    <w:rsid w:val="00052062"/>
    <w:rsid w:val="00076588"/>
    <w:rsid w:val="00095027"/>
    <w:rsid w:val="000A7158"/>
    <w:rsid w:val="000C3A16"/>
    <w:rsid w:val="000D3146"/>
    <w:rsid w:val="00106398"/>
    <w:rsid w:val="00162D64"/>
    <w:rsid w:val="00174249"/>
    <w:rsid w:val="001E09E9"/>
    <w:rsid w:val="001E28B5"/>
    <w:rsid w:val="0020466E"/>
    <w:rsid w:val="00253001"/>
    <w:rsid w:val="002A446E"/>
    <w:rsid w:val="003241A2"/>
    <w:rsid w:val="00346DC8"/>
    <w:rsid w:val="003F76FA"/>
    <w:rsid w:val="004428EC"/>
    <w:rsid w:val="00474486"/>
    <w:rsid w:val="00506420"/>
    <w:rsid w:val="00533AEC"/>
    <w:rsid w:val="005855D3"/>
    <w:rsid w:val="005C0926"/>
    <w:rsid w:val="005C5BFE"/>
    <w:rsid w:val="005C7FC0"/>
    <w:rsid w:val="005E7A64"/>
    <w:rsid w:val="006503B3"/>
    <w:rsid w:val="006A49A2"/>
    <w:rsid w:val="00742B90"/>
    <w:rsid w:val="00754FA1"/>
    <w:rsid w:val="00772F1E"/>
    <w:rsid w:val="007B6FA9"/>
    <w:rsid w:val="007C7CEB"/>
    <w:rsid w:val="007E5E76"/>
    <w:rsid w:val="00863C86"/>
    <w:rsid w:val="008A780B"/>
    <w:rsid w:val="008D6CDB"/>
    <w:rsid w:val="009060D0"/>
    <w:rsid w:val="009237C1"/>
    <w:rsid w:val="00986921"/>
    <w:rsid w:val="009917E8"/>
    <w:rsid w:val="00A461B5"/>
    <w:rsid w:val="00A5103C"/>
    <w:rsid w:val="00A612F4"/>
    <w:rsid w:val="00AA4D2D"/>
    <w:rsid w:val="00AD5970"/>
    <w:rsid w:val="00AF3E47"/>
    <w:rsid w:val="00B0008E"/>
    <w:rsid w:val="00B1328E"/>
    <w:rsid w:val="00B21CDC"/>
    <w:rsid w:val="00B22344"/>
    <w:rsid w:val="00B31559"/>
    <w:rsid w:val="00B557C0"/>
    <w:rsid w:val="00B64DED"/>
    <w:rsid w:val="00B6754A"/>
    <w:rsid w:val="00B8474D"/>
    <w:rsid w:val="00BC3FCC"/>
    <w:rsid w:val="00C10A8E"/>
    <w:rsid w:val="00C11591"/>
    <w:rsid w:val="00C520A9"/>
    <w:rsid w:val="00C80127"/>
    <w:rsid w:val="00CA1406"/>
    <w:rsid w:val="00CA5266"/>
    <w:rsid w:val="00CB4037"/>
    <w:rsid w:val="00D111B0"/>
    <w:rsid w:val="00DA3216"/>
    <w:rsid w:val="00DE1BAB"/>
    <w:rsid w:val="00DF3ADC"/>
    <w:rsid w:val="00E1410E"/>
    <w:rsid w:val="00E719E2"/>
    <w:rsid w:val="00EC243A"/>
    <w:rsid w:val="00F071F4"/>
    <w:rsid w:val="00F33F6D"/>
    <w:rsid w:val="00FA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4E35"/>
  <w15:chartTrackingRefBased/>
  <w15:docId w15:val="{ABB3EDD9-1306-4A8E-8C63-EDE0DA59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7E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428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428E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28EC"/>
    <w:rPr>
      <w:vertAlign w:val="superscript"/>
    </w:rPr>
  </w:style>
  <w:style w:type="character" w:styleId="LineNumber">
    <w:name w:val="line number"/>
    <w:basedOn w:val="DefaultParagraphFont"/>
    <w:uiPriority w:val="99"/>
    <w:semiHidden/>
    <w:unhideWhenUsed/>
    <w:rsid w:val="00772F1E"/>
  </w:style>
  <w:style w:type="character" w:styleId="CommentReference">
    <w:name w:val="annotation reference"/>
    <w:basedOn w:val="DefaultParagraphFont"/>
    <w:uiPriority w:val="99"/>
    <w:semiHidden/>
    <w:unhideWhenUsed/>
    <w:rsid w:val="00052062"/>
    <w:rPr>
      <w:sz w:val="16"/>
      <w:szCs w:val="16"/>
    </w:rPr>
  </w:style>
  <w:style w:type="paragraph" w:styleId="CommentText">
    <w:name w:val="annotation text"/>
    <w:basedOn w:val="Normal"/>
    <w:link w:val="CommentTextChar"/>
    <w:uiPriority w:val="99"/>
    <w:semiHidden/>
    <w:unhideWhenUsed/>
    <w:rsid w:val="00052062"/>
    <w:pPr>
      <w:spacing w:line="240" w:lineRule="auto"/>
    </w:pPr>
    <w:rPr>
      <w:sz w:val="20"/>
      <w:szCs w:val="20"/>
    </w:rPr>
  </w:style>
  <w:style w:type="character" w:customStyle="1" w:styleId="CommentTextChar">
    <w:name w:val="Comment Text Char"/>
    <w:basedOn w:val="DefaultParagraphFont"/>
    <w:link w:val="CommentText"/>
    <w:uiPriority w:val="99"/>
    <w:semiHidden/>
    <w:rsid w:val="00052062"/>
    <w:rPr>
      <w:sz w:val="20"/>
      <w:szCs w:val="20"/>
    </w:rPr>
  </w:style>
  <w:style w:type="paragraph" w:styleId="CommentSubject">
    <w:name w:val="annotation subject"/>
    <w:basedOn w:val="CommentText"/>
    <w:next w:val="CommentText"/>
    <w:link w:val="CommentSubjectChar"/>
    <w:uiPriority w:val="99"/>
    <w:semiHidden/>
    <w:unhideWhenUsed/>
    <w:rsid w:val="00052062"/>
    <w:rPr>
      <w:b/>
      <w:bCs/>
    </w:rPr>
  </w:style>
  <w:style w:type="character" w:customStyle="1" w:styleId="CommentSubjectChar">
    <w:name w:val="Comment Subject Char"/>
    <w:basedOn w:val="CommentTextChar"/>
    <w:link w:val="CommentSubject"/>
    <w:uiPriority w:val="99"/>
    <w:semiHidden/>
    <w:rsid w:val="00052062"/>
    <w:rPr>
      <w:b/>
      <w:bCs/>
      <w:sz w:val="20"/>
      <w:szCs w:val="20"/>
    </w:rPr>
  </w:style>
  <w:style w:type="paragraph" w:styleId="Header">
    <w:name w:val="header"/>
    <w:basedOn w:val="Normal"/>
    <w:link w:val="HeaderChar"/>
    <w:uiPriority w:val="99"/>
    <w:unhideWhenUsed/>
    <w:rsid w:val="0002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B93"/>
  </w:style>
  <w:style w:type="paragraph" w:styleId="Footer">
    <w:name w:val="footer"/>
    <w:basedOn w:val="Normal"/>
    <w:link w:val="FooterChar"/>
    <w:uiPriority w:val="99"/>
    <w:unhideWhenUsed/>
    <w:rsid w:val="0002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B93"/>
  </w:style>
  <w:style w:type="paragraph" w:styleId="Revision">
    <w:name w:val="Revision"/>
    <w:hidden/>
    <w:uiPriority w:val="99"/>
    <w:semiHidden/>
    <w:rsid w:val="00506420"/>
    <w:pPr>
      <w:spacing w:after="0" w:line="240" w:lineRule="auto"/>
    </w:pPr>
  </w:style>
  <w:style w:type="paragraph" w:styleId="BalloonText">
    <w:name w:val="Balloon Text"/>
    <w:basedOn w:val="Normal"/>
    <w:link w:val="BalloonTextChar"/>
    <w:uiPriority w:val="99"/>
    <w:semiHidden/>
    <w:unhideWhenUsed/>
    <w:rsid w:val="005C7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FC0"/>
    <w:rPr>
      <w:rFonts w:ascii="Segoe UI" w:hAnsi="Segoe UI" w:cs="Segoe UI"/>
      <w:sz w:val="18"/>
      <w:szCs w:val="18"/>
    </w:rPr>
  </w:style>
  <w:style w:type="paragraph" w:styleId="ListParagraph">
    <w:name w:val="List Paragraph"/>
    <w:basedOn w:val="Normal"/>
    <w:uiPriority w:val="34"/>
    <w:qFormat/>
    <w:rsid w:val="00DE1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ydrogen.energy.gov/pdfs/hydrogen-program-plan-20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Godfrey</dc:creator>
  <cp:keywords/>
  <dc:description/>
  <cp:lastModifiedBy>Scott Corwin</cp:lastModifiedBy>
  <cp:revision>2</cp:revision>
  <dcterms:created xsi:type="dcterms:W3CDTF">2023-02-16T06:11:00Z</dcterms:created>
  <dcterms:modified xsi:type="dcterms:W3CDTF">2023-02-16T06:11:00Z</dcterms:modified>
</cp:coreProperties>
</file>